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F8FA4" w14:textId="77777777" w:rsidR="00B80CFE" w:rsidRPr="00F52FA2" w:rsidRDefault="00B80CFE" w:rsidP="00F52FA2">
      <w:pPr>
        <w:pStyle w:val="Akapitzlist"/>
        <w:pBdr>
          <w:bottom w:val="single" w:sz="4" w:space="1" w:color="auto"/>
        </w:pBd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ustalania prawa do okresowych świadczeń pieniężnych.</w:t>
      </w:r>
    </w:p>
    <w:p w14:paraId="79D683EE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5903D52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5DD7F45" w14:textId="77777777" w:rsidR="00B80CFE" w:rsidRPr="00F52FA2" w:rsidRDefault="00B80CFE" w:rsidP="00F54EDC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2020</w:t>
      </w:r>
    </w:p>
    <w:p w14:paraId="2D685974" w14:textId="77777777" w:rsidR="00B80CFE" w:rsidRPr="00F52FA2" w:rsidRDefault="00B80CFE" w:rsidP="00F54ED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FA2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Gdańsku sygn. akt III SA/Gd 268/19 z dnia 27 marca 2020 r. </w:t>
      </w:r>
    </w:p>
    <w:p w14:paraId="173C7363" w14:textId="77777777" w:rsidR="00B80CFE" w:rsidRPr="00F52FA2" w:rsidRDefault="00B80CFE" w:rsidP="00F54ED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F52FA2">
        <w:rPr>
          <w:rFonts w:ascii="Times New Roman" w:hAnsi="Times New Roman" w:cs="Times New Roman"/>
          <w:b/>
          <w:sz w:val="24"/>
          <w:szCs w:val="24"/>
        </w:rPr>
        <w:t>Teza:</w:t>
      </w:r>
      <w:r w:rsidRPr="00F52FA2">
        <w:rPr>
          <w:rFonts w:ascii="Times New Roman" w:hAnsi="Times New Roman" w:cs="Times New Roman"/>
          <w:sz w:val="24"/>
          <w:szCs w:val="24"/>
        </w:rPr>
        <w:t xml:space="preserve"> Przyznanie świadczenia w formie zasiłku stałego jest uzależnione od kumulatywnego spełnienia kilku przesłanek, do których należą: pełnoletniość osoby ubiegającej się o zasiłek, niezdolność do pracy z powodu wieku lub całkowita niezdolność do pracy (spowodowana niepełnosprawnością) oraz uzyskiwanie dochodu </w:t>
      </w:r>
    </w:p>
    <w:p w14:paraId="052351F1" w14:textId="77777777" w:rsidR="00B80CFE" w:rsidRPr="00F52FA2" w:rsidRDefault="00B80CFE" w:rsidP="00F54ED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70B4E23" w14:textId="77777777" w:rsidR="00B80CFE" w:rsidRPr="00F52FA2" w:rsidRDefault="00B80CFE" w:rsidP="00F54ED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FA2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Poznaniu sygn. akt II SA/Po 665/19 z dnia 24 czerwca 2020 r. </w:t>
      </w:r>
    </w:p>
    <w:p w14:paraId="47C16869" w14:textId="77777777" w:rsidR="00B80CFE" w:rsidRPr="00F52FA2" w:rsidRDefault="00B80CFE" w:rsidP="00F54ED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F52FA2">
        <w:rPr>
          <w:rFonts w:ascii="Times New Roman" w:hAnsi="Times New Roman" w:cs="Times New Roman"/>
          <w:b/>
          <w:sz w:val="24"/>
          <w:szCs w:val="24"/>
        </w:rPr>
        <w:t>Teza</w:t>
      </w:r>
      <w:r w:rsidRPr="00F52FA2">
        <w:rPr>
          <w:rFonts w:ascii="Times New Roman" w:hAnsi="Times New Roman" w:cs="Times New Roman"/>
          <w:sz w:val="24"/>
          <w:szCs w:val="24"/>
        </w:rPr>
        <w:t xml:space="preserve">: Trudna sytuacja zdrowotna wnoszącego o zasiłek stały, jego ogólna kondycja materialna, brak możliwości zarobkowania, osobiste poczucie </w:t>
      </w:r>
      <w:proofErr w:type="gramStart"/>
      <w:r w:rsidRPr="00F52FA2">
        <w:rPr>
          <w:rFonts w:ascii="Times New Roman" w:hAnsi="Times New Roman" w:cs="Times New Roman"/>
          <w:sz w:val="24"/>
          <w:szCs w:val="24"/>
        </w:rPr>
        <w:t>krzywdy,</w:t>
      </w:r>
      <w:proofErr w:type="gramEnd"/>
      <w:r w:rsidRPr="00F52FA2">
        <w:rPr>
          <w:rFonts w:ascii="Times New Roman" w:hAnsi="Times New Roman" w:cs="Times New Roman"/>
          <w:sz w:val="24"/>
          <w:szCs w:val="24"/>
        </w:rPr>
        <w:t xml:space="preserve"> tudzież niezadawalająca wysokość wparcia udzielana skarżącemu by zapewnić mu oczekiwany poziom zaspokojenia potrzeb - nie są czynnikami, które mogą być brane przez organy pod uwagę przy ustalaniu wysokości zasiłku stałego. W tej mierze organy są związane przepisami prawa, które nie pozwalają na uwzględnianie takich okoliczności.</w:t>
      </w:r>
    </w:p>
    <w:p w14:paraId="61CF59DC" w14:textId="77777777" w:rsidR="00B80CFE" w:rsidRPr="00F52FA2" w:rsidRDefault="00B80CFE" w:rsidP="00F54ED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AB74554" w14:textId="77777777" w:rsidR="00541B44" w:rsidRPr="00F52FA2" w:rsidRDefault="00000000" w:rsidP="00F54ED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5" w:anchor="/jurisprudence/523118843/1/ii-sa-po-962-19-warunki-przyznawania-zasilku-okresowego-i-celowego-wyrok-wojewodzkiego-sadu...?cm=URELATIONS" w:history="1">
        <w:r w:rsidR="00541B44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 SA/Po 962/19</w:t>
        </w:r>
        <w:r w:rsidR="00F52FA2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 - </w:t>
        </w:r>
        <w:r w:rsidR="00541B44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Wyrok Wojewódzkiego Sądu Administracyjnego w Poznaniu</w:t>
        </w:r>
      </w:hyperlink>
      <w:r w:rsidR="00F52FA2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541B44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z dnia 4 czerwca 2020 r.</w:t>
      </w:r>
    </w:p>
    <w:p w14:paraId="13EBA3C0" w14:textId="77777777" w:rsidR="00541B44" w:rsidRPr="00F52FA2" w:rsidRDefault="00F52FA2" w:rsidP="00F54EDC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41B44" w:rsidRPr="00F52FA2">
        <w:rPr>
          <w:rFonts w:ascii="Times New Roman" w:hAnsi="Times New Roman" w:cs="Times New Roman"/>
          <w:sz w:val="24"/>
          <w:szCs w:val="24"/>
          <w:lang w:eastAsia="pl-PL"/>
        </w:rPr>
        <w:t>Wysokość, jak i okres, na który zostaje przyznana pomoc w postaci zasiłku okresowego uzależnione są od możliwości finansowych organu przyznającego pomoc oraz ilości innych osób potrzebujących i zamieszkujących na terenie danej gminy.</w:t>
      </w:r>
    </w:p>
    <w:p w14:paraId="51F5B65E" w14:textId="77777777" w:rsidR="00B80CFE" w:rsidRPr="00F52FA2" w:rsidRDefault="00B80CFE" w:rsidP="00F52FA2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6D878D1C" w14:textId="77777777" w:rsidR="00B80CFE" w:rsidRPr="00F52FA2" w:rsidRDefault="00B80CFE" w:rsidP="00F52F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80CFE" w:rsidRPr="00F52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C32447"/>
    <w:multiLevelType w:val="hybridMultilevel"/>
    <w:tmpl w:val="EBD630F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D5116"/>
    <w:multiLevelType w:val="multilevel"/>
    <w:tmpl w:val="EA8EE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025C11"/>
    <w:multiLevelType w:val="multilevel"/>
    <w:tmpl w:val="A6CA2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5A13CA"/>
    <w:multiLevelType w:val="multilevel"/>
    <w:tmpl w:val="E39A4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3A37D7"/>
    <w:multiLevelType w:val="hybridMultilevel"/>
    <w:tmpl w:val="F6D62B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276B5E"/>
    <w:multiLevelType w:val="multilevel"/>
    <w:tmpl w:val="9E801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9916FE"/>
    <w:multiLevelType w:val="multilevel"/>
    <w:tmpl w:val="72A46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AB21F1"/>
    <w:multiLevelType w:val="hybridMultilevel"/>
    <w:tmpl w:val="907444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2D132B8"/>
    <w:multiLevelType w:val="multilevel"/>
    <w:tmpl w:val="E49E3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DB1A92"/>
    <w:multiLevelType w:val="hybridMultilevel"/>
    <w:tmpl w:val="FAF4FB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EF09A2"/>
    <w:multiLevelType w:val="multilevel"/>
    <w:tmpl w:val="5EE27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D80E57"/>
    <w:multiLevelType w:val="hybridMultilevel"/>
    <w:tmpl w:val="89B213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60821449">
    <w:abstractNumId w:val="0"/>
  </w:num>
  <w:num w:numId="2" w16cid:durableId="1266617363">
    <w:abstractNumId w:val="11"/>
  </w:num>
  <w:num w:numId="3" w16cid:durableId="14942983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313708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981380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344469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9882017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0252788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207743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12243389">
    <w:abstractNumId w:val="5"/>
  </w:num>
  <w:num w:numId="11" w16cid:durableId="1310477584">
    <w:abstractNumId w:val="1"/>
  </w:num>
  <w:num w:numId="12" w16cid:durableId="445660755">
    <w:abstractNumId w:val="13"/>
  </w:num>
  <w:num w:numId="13" w16cid:durableId="2004316671">
    <w:abstractNumId w:val="10"/>
  </w:num>
  <w:num w:numId="14" w16cid:durableId="95467536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CFE"/>
    <w:rsid w:val="00100B10"/>
    <w:rsid w:val="003036AD"/>
    <w:rsid w:val="00462335"/>
    <w:rsid w:val="00541B44"/>
    <w:rsid w:val="00A67D11"/>
    <w:rsid w:val="00B80CFE"/>
    <w:rsid w:val="00F52FA2"/>
    <w:rsid w:val="00F5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4EC36"/>
  <w15:docId w15:val="{A74D15A4-49F9-4EAD-95C3-35E768C9F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CFE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0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0CFE"/>
    <w:pPr>
      <w:ind w:left="720"/>
      <w:contextualSpacing/>
    </w:pPr>
  </w:style>
  <w:style w:type="paragraph" w:styleId="Bezodstpw">
    <w:name w:val="No Spacing"/>
    <w:uiPriority w:val="1"/>
    <w:qFormat/>
    <w:rsid w:val="00B80CF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80CF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0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228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3</cp:revision>
  <dcterms:created xsi:type="dcterms:W3CDTF">2023-01-30T20:09:00Z</dcterms:created>
  <dcterms:modified xsi:type="dcterms:W3CDTF">2023-01-31T11:32:00Z</dcterms:modified>
</cp:coreProperties>
</file>