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A674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7A742630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54E9F573" w14:textId="77777777" w:rsidR="008C0B5E" w:rsidRPr="001B4DB0" w:rsidRDefault="008C0B5E" w:rsidP="001B4D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2016</w:t>
      </w:r>
    </w:p>
    <w:p w14:paraId="2E7A19EA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40F762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2172621/1/iv-sa-gl-1185-15-umieszczenie-w-domu-pomocy-spolecznej-jako-rozwiazanie-podejmowane-w...?cm=URELATIONS" w:history="1"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IV SA/Gl 1185/15 -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Wyrok Wojewódzkiego Sądu Administracyjnego w Gliwicach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2 czerwca 2016 r.</w:t>
      </w:r>
    </w:p>
    <w:p w14:paraId="605F281E" w14:textId="77777777" w:rsidR="00061E12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Umieszczenie w domu pomocy społecznej, jak wynika to z treści art. 36 pkt 2 lit. i-o u.p.s., jest ostatecznością. Wskazuje na to przede wszystkim jednak redakcja art. 54 ust. 1 u.p.s., który umieszczenie osoby w domu pomocy społecznej, nawet w razie spełnienia dwóch pierwszych wyżej wskazanych przesłanek materialnych, uzależnia od stwierdzenia, że osobie tej nie można zapewnić niezbędnej pomocy w formie usług opiekuńczych. Z tych przyczyn, umieszczenie w domu pomocy społecznej powinno być poprzedzone oceną możliwości udzielenia pomocy osobie potrzebującej w miejscu jej zamieszkania oraz wnikliwym zbadaniem jej sytuacji życiowej.</w:t>
      </w:r>
    </w:p>
    <w:p w14:paraId="3D92E59C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DF5D93" w14:textId="039F7A2C" w:rsidR="008C0B5E" w:rsidRPr="004F635B" w:rsidRDefault="008C0B5E" w:rsidP="004F63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4F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21832">
    <w:abstractNumId w:val="1"/>
  </w:num>
  <w:num w:numId="2" w16cid:durableId="41605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61E12"/>
    <w:rsid w:val="001B4DB0"/>
    <w:rsid w:val="003036AD"/>
    <w:rsid w:val="00462335"/>
    <w:rsid w:val="004F635B"/>
    <w:rsid w:val="008C0B5E"/>
    <w:rsid w:val="00B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2DF8"/>
  <w15:docId w15:val="{9C9FAECA-BE09-4033-A437-2B685B4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2023-01-31T11:20:00Z</dcterms:modified>
</cp:coreProperties>
</file>