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7ACD67" w14:textId="77777777" w:rsidR="008C0B5E" w:rsidRPr="001B4DB0" w:rsidRDefault="008C0B5E" w:rsidP="001B4DB0">
      <w:pPr>
        <w:pBdr>
          <w:bottom w:val="single" w:sz="4" w:space="1" w:color="auto"/>
        </w:pBdr>
        <w:spacing w:before="100" w:beforeAutospacing="1" w:after="100" w:afterAutospacing="1" w:line="240" w:lineRule="auto"/>
        <w:jc w:val="both"/>
        <w:rPr>
          <w:rFonts w:ascii="Times New Roman" w:eastAsia="Times New Roman" w:hAnsi="Times New Roman" w:cs="Times New Roman"/>
          <w:b/>
          <w:sz w:val="24"/>
          <w:szCs w:val="24"/>
          <w:lang w:eastAsia="pl-PL"/>
        </w:rPr>
      </w:pPr>
      <w:r w:rsidRPr="001B4DB0">
        <w:rPr>
          <w:rFonts w:ascii="Times New Roman" w:eastAsia="Times New Roman" w:hAnsi="Times New Roman" w:cs="Times New Roman"/>
          <w:b/>
          <w:sz w:val="24"/>
          <w:szCs w:val="24"/>
          <w:lang w:eastAsia="pl-PL"/>
        </w:rPr>
        <w:t>Zasady i tryb kierowania do Domów Pomocy Społecznej.</w:t>
      </w:r>
    </w:p>
    <w:p w14:paraId="250F0F8A" w14:textId="77777777" w:rsidR="008C0B5E" w:rsidRPr="001B4DB0" w:rsidRDefault="008C0B5E" w:rsidP="001B4DB0">
      <w:pPr>
        <w:pStyle w:val="Bezodstpw"/>
        <w:jc w:val="both"/>
        <w:rPr>
          <w:rFonts w:ascii="Times New Roman" w:hAnsi="Times New Roman" w:cs="Times New Roman"/>
          <w:sz w:val="24"/>
          <w:szCs w:val="24"/>
          <w:lang w:eastAsia="pl-PL"/>
        </w:rPr>
      </w:pPr>
    </w:p>
    <w:p w14:paraId="4DD3F73A" w14:textId="77777777" w:rsidR="008C0B5E" w:rsidRPr="001B4DB0" w:rsidRDefault="008C0B5E" w:rsidP="001B4DB0">
      <w:pPr>
        <w:pStyle w:val="Bezodstpw"/>
        <w:numPr>
          <w:ilvl w:val="0"/>
          <w:numId w:val="2"/>
        </w:numPr>
        <w:jc w:val="both"/>
        <w:rPr>
          <w:rFonts w:ascii="Times New Roman" w:hAnsi="Times New Roman" w:cs="Times New Roman"/>
          <w:b/>
          <w:bCs/>
          <w:sz w:val="24"/>
          <w:szCs w:val="24"/>
          <w:lang w:eastAsia="pl-PL"/>
        </w:rPr>
      </w:pPr>
      <w:r w:rsidRPr="001B4DB0">
        <w:rPr>
          <w:rFonts w:ascii="Times New Roman" w:hAnsi="Times New Roman" w:cs="Times New Roman"/>
          <w:b/>
          <w:bCs/>
          <w:sz w:val="24"/>
          <w:szCs w:val="24"/>
          <w:lang w:eastAsia="pl-PL"/>
        </w:rPr>
        <w:t>2015</w:t>
      </w:r>
    </w:p>
    <w:p w14:paraId="57C03A98" w14:textId="77777777" w:rsidR="00061E12" w:rsidRPr="001B4DB0" w:rsidRDefault="00061E12" w:rsidP="001B4DB0">
      <w:pPr>
        <w:pStyle w:val="Bezodstpw"/>
        <w:jc w:val="both"/>
        <w:rPr>
          <w:rFonts w:ascii="Times New Roman" w:hAnsi="Times New Roman" w:cs="Times New Roman"/>
          <w:bCs/>
          <w:sz w:val="24"/>
          <w:szCs w:val="24"/>
          <w:lang w:eastAsia="pl-PL"/>
        </w:rPr>
      </w:pPr>
    </w:p>
    <w:p w14:paraId="0494C0D9" w14:textId="77777777" w:rsidR="00061E12" w:rsidRPr="001B4DB0" w:rsidRDefault="00000000" w:rsidP="001B4DB0">
      <w:pPr>
        <w:pStyle w:val="Bezodstpw"/>
        <w:jc w:val="both"/>
        <w:rPr>
          <w:rFonts w:ascii="Times New Roman" w:hAnsi="Times New Roman" w:cs="Times New Roman"/>
          <w:b/>
          <w:sz w:val="24"/>
          <w:szCs w:val="24"/>
          <w:lang w:eastAsia="pl-PL"/>
        </w:rPr>
      </w:pPr>
      <w:hyperlink r:id="rId5" w:anchor="/jurisprudence/522042401/1/ii-sa-bd-698-15-uwarunkowania-skierowania-osoby-wymagajacej-calodobowej-opieki-do-domu-pomocy...?cm=URELATIONS" w:history="1">
        <w:r w:rsidR="00061E12" w:rsidRPr="001B4DB0">
          <w:rPr>
            <w:rFonts w:ascii="Times New Roman" w:hAnsi="Times New Roman" w:cs="Times New Roman"/>
            <w:b/>
            <w:bCs/>
            <w:sz w:val="24"/>
            <w:szCs w:val="24"/>
            <w:lang w:eastAsia="pl-PL"/>
          </w:rPr>
          <w:t>II SA/</w:t>
        </w:r>
        <w:proofErr w:type="spellStart"/>
        <w:r w:rsidR="00061E12" w:rsidRPr="001B4DB0">
          <w:rPr>
            <w:rFonts w:ascii="Times New Roman" w:hAnsi="Times New Roman" w:cs="Times New Roman"/>
            <w:b/>
            <w:bCs/>
            <w:sz w:val="24"/>
            <w:szCs w:val="24"/>
            <w:lang w:eastAsia="pl-PL"/>
          </w:rPr>
          <w:t>Bd</w:t>
        </w:r>
        <w:proofErr w:type="spellEnd"/>
        <w:r w:rsidR="00061E12" w:rsidRPr="001B4DB0">
          <w:rPr>
            <w:rFonts w:ascii="Times New Roman" w:hAnsi="Times New Roman" w:cs="Times New Roman"/>
            <w:b/>
            <w:bCs/>
            <w:sz w:val="24"/>
            <w:szCs w:val="24"/>
            <w:lang w:eastAsia="pl-PL"/>
          </w:rPr>
          <w:t xml:space="preserve"> 698/15 - Wyrok Wojewódzkiego Sądu Administracyjnego w Bydgoszczy</w:t>
        </w:r>
      </w:hyperlink>
      <w:r w:rsidR="00061E12" w:rsidRPr="001B4DB0">
        <w:rPr>
          <w:rFonts w:ascii="Times New Roman" w:hAnsi="Times New Roman" w:cs="Times New Roman"/>
          <w:b/>
          <w:sz w:val="24"/>
          <w:szCs w:val="24"/>
          <w:lang w:eastAsia="pl-PL"/>
        </w:rPr>
        <w:t xml:space="preserve"> z dnia 3 listopada 2015 r.</w:t>
      </w:r>
    </w:p>
    <w:p w14:paraId="59B70053" w14:textId="77777777" w:rsidR="00061E12" w:rsidRPr="001B4DB0" w:rsidRDefault="00BF282F" w:rsidP="001B4DB0">
      <w:pPr>
        <w:pStyle w:val="Bezodstpw"/>
        <w:jc w:val="both"/>
        <w:rPr>
          <w:rFonts w:ascii="Times New Roman" w:hAnsi="Times New Roman" w:cs="Times New Roman"/>
          <w:sz w:val="24"/>
          <w:szCs w:val="24"/>
          <w:lang w:eastAsia="pl-PL"/>
        </w:rPr>
      </w:pPr>
      <w:r w:rsidRPr="001B4DB0">
        <w:rPr>
          <w:rFonts w:ascii="Times New Roman" w:hAnsi="Times New Roman" w:cs="Times New Roman"/>
          <w:b/>
          <w:sz w:val="24"/>
          <w:szCs w:val="24"/>
          <w:lang w:eastAsia="pl-PL"/>
        </w:rPr>
        <w:t xml:space="preserve">Teza: </w:t>
      </w:r>
      <w:r w:rsidR="00061E12" w:rsidRPr="001B4DB0">
        <w:rPr>
          <w:rFonts w:ascii="Times New Roman" w:hAnsi="Times New Roman" w:cs="Times New Roman"/>
          <w:sz w:val="24"/>
          <w:szCs w:val="24"/>
          <w:lang w:eastAsia="pl-PL"/>
        </w:rPr>
        <w:t xml:space="preserve">Nie kieruje się osoby wymagającej całodobowej opieki do domu pomocy społecznej odpowiedniego dla niej typu, leżącego najbliżej miejsca zamieszkania, jeżeli wymagają tego okoliczności sprawy. Ustawodawca nie określił w przepisie art. 54 ust. 2 </w:t>
      </w:r>
      <w:proofErr w:type="spellStart"/>
      <w:r w:rsidR="00061E12" w:rsidRPr="001B4DB0">
        <w:rPr>
          <w:rFonts w:ascii="Times New Roman" w:hAnsi="Times New Roman" w:cs="Times New Roman"/>
          <w:sz w:val="24"/>
          <w:szCs w:val="24"/>
          <w:lang w:eastAsia="pl-PL"/>
        </w:rPr>
        <w:t>u.p.s</w:t>
      </w:r>
      <w:proofErr w:type="spellEnd"/>
      <w:r w:rsidR="00061E12" w:rsidRPr="001B4DB0">
        <w:rPr>
          <w:rFonts w:ascii="Times New Roman" w:hAnsi="Times New Roman" w:cs="Times New Roman"/>
          <w:sz w:val="24"/>
          <w:szCs w:val="24"/>
          <w:lang w:eastAsia="pl-PL"/>
        </w:rPr>
        <w:t>., o jakie konkretnie okoliczności chodzi, co jest zrozumiałe, z uwagi na trudne do skatalogowania sytuacje, w tym zupełnie nietypowe, które przecież zawsze odnoszą się do indywidualnych przypadków, starszych, nieporadnych i schorowanych często osób. Zawarcie więc w tym przepisie klauzuli pozwalającej na ustalenie innego kryterium wyboru odpowiedniego miejscowo ośrodka, oznacza to, że organ pomocy społecznej dokonując wyboru domu pomocy społecznej, do którego skierowana ma być osoba wymagająca całodobowej opieki, zobowiązany jest brać pod uwagę nie tylko typ domu pomocy społecznej, czas oczekiwania na miejsce w tym domu i zakres świadczonych w nim usług, ale również jej indywidualne potrzeby. W sposób szczególny uwzględnić musi, który z domów pomocy społecznej w sposób najpełniejszy te właśnie potrzeby realizuje. By temu sprostać, niewątpliwym obowiązkiem organu jest dokonanie rzetelnej, wyczerpującej i czytelnej analizy tych potrzeb, z uwzględnieniem rzecz jasna stanowiska osoby zainteresowanej, a więc osoby, która ma zostać umieszczona w placówce i która w najpełniejszy sposób odczuje skutki tego, w którym ośrodku zostanie umieszczona.</w:t>
      </w:r>
    </w:p>
    <w:p w14:paraId="5C945288" w14:textId="77777777" w:rsidR="00061E12" w:rsidRPr="001B4DB0" w:rsidRDefault="00061E12" w:rsidP="001B4DB0">
      <w:pPr>
        <w:pStyle w:val="Bezodstpw"/>
        <w:jc w:val="both"/>
        <w:rPr>
          <w:rFonts w:ascii="Times New Roman" w:hAnsi="Times New Roman" w:cs="Times New Roman"/>
          <w:sz w:val="24"/>
          <w:szCs w:val="24"/>
          <w:lang w:eastAsia="pl-PL"/>
        </w:rPr>
      </w:pPr>
    </w:p>
    <w:p w14:paraId="412F1834" w14:textId="77777777" w:rsidR="00061E12" w:rsidRPr="001B4DB0" w:rsidRDefault="00000000" w:rsidP="001B4DB0">
      <w:pPr>
        <w:pStyle w:val="Bezodstpw"/>
        <w:jc w:val="both"/>
        <w:rPr>
          <w:rFonts w:ascii="Times New Roman" w:hAnsi="Times New Roman" w:cs="Times New Roman"/>
          <w:b/>
          <w:sz w:val="24"/>
          <w:szCs w:val="24"/>
          <w:lang w:eastAsia="pl-PL"/>
        </w:rPr>
      </w:pPr>
      <w:hyperlink r:id="rId6" w:anchor="/jurisprudence/522110803/1/ii-sa-rz-1069-15-przeslanki-umieszczenia-osoby-w-domu-pomocy-spolecznej-wyrok-wojewodzkiego-sadu...?cm=URELATIONS" w:history="1">
        <w:r w:rsidR="00061E12" w:rsidRPr="001B4DB0">
          <w:rPr>
            <w:rFonts w:ascii="Times New Roman" w:hAnsi="Times New Roman" w:cs="Times New Roman"/>
            <w:b/>
            <w:bCs/>
            <w:sz w:val="24"/>
            <w:szCs w:val="24"/>
            <w:lang w:eastAsia="pl-PL"/>
          </w:rPr>
          <w:t>II SA/</w:t>
        </w:r>
        <w:proofErr w:type="spellStart"/>
        <w:r w:rsidR="00061E12" w:rsidRPr="001B4DB0">
          <w:rPr>
            <w:rFonts w:ascii="Times New Roman" w:hAnsi="Times New Roman" w:cs="Times New Roman"/>
            <w:b/>
            <w:bCs/>
            <w:sz w:val="24"/>
            <w:szCs w:val="24"/>
            <w:lang w:eastAsia="pl-PL"/>
          </w:rPr>
          <w:t>Rz</w:t>
        </w:r>
        <w:proofErr w:type="spellEnd"/>
        <w:r w:rsidR="00061E12" w:rsidRPr="001B4DB0">
          <w:rPr>
            <w:rFonts w:ascii="Times New Roman" w:hAnsi="Times New Roman" w:cs="Times New Roman"/>
            <w:b/>
            <w:bCs/>
            <w:sz w:val="24"/>
            <w:szCs w:val="24"/>
            <w:lang w:eastAsia="pl-PL"/>
          </w:rPr>
          <w:t xml:space="preserve"> 1069/15 - Wyrok Wojewódzkiego Sądu Administracyjnego w Rzeszowie</w:t>
        </w:r>
      </w:hyperlink>
      <w:r w:rsidR="00061E12" w:rsidRPr="001B4DB0">
        <w:rPr>
          <w:rFonts w:ascii="Times New Roman" w:hAnsi="Times New Roman" w:cs="Times New Roman"/>
          <w:b/>
          <w:sz w:val="24"/>
          <w:szCs w:val="24"/>
          <w:lang w:eastAsia="pl-PL"/>
        </w:rPr>
        <w:t xml:space="preserve"> z dnia 4 lutego 2016 r.</w:t>
      </w:r>
    </w:p>
    <w:p w14:paraId="46C052D7" w14:textId="77777777" w:rsidR="00061E12" w:rsidRPr="001B4DB0" w:rsidRDefault="00BF282F" w:rsidP="001B4DB0">
      <w:pPr>
        <w:pStyle w:val="Bezodstpw"/>
        <w:jc w:val="both"/>
        <w:rPr>
          <w:rFonts w:ascii="Times New Roman" w:hAnsi="Times New Roman" w:cs="Times New Roman"/>
          <w:sz w:val="24"/>
          <w:szCs w:val="24"/>
          <w:lang w:eastAsia="pl-PL"/>
        </w:rPr>
      </w:pPr>
      <w:r w:rsidRPr="001B4DB0">
        <w:rPr>
          <w:rFonts w:ascii="Times New Roman" w:hAnsi="Times New Roman" w:cs="Times New Roman"/>
          <w:b/>
          <w:sz w:val="24"/>
          <w:szCs w:val="24"/>
          <w:lang w:eastAsia="pl-PL"/>
        </w:rPr>
        <w:t xml:space="preserve">Teza: </w:t>
      </w:r>
      <w:r w:rsidR="00061E12" w:rsidRPr="001B4DB0">
        <w:rPr>
          <w:rFonts w:ascii="Times New Roman" w:hAnsi="Times New Roman" w:cs="Times New Roman"/>
          <w:sz w:val="24"/>
          <w:szCs w:val="24"/>
          <w:lang w:eastAsia="pl-PL"/>
        </w:rPr>
        <w:t>Dla umieszczenia w domu pomocy społecznej samo stwierdzenie, że dana osoba wymaga całodobowej opieki jest niewystarczające, muszą wystąpić dodatkowe przesłanki: brak możliwości samodzielnego funkcjonowania w codziennym życiu i brak możliwości zapewnienia niezbędnej pomocy w formie usług opiekuńczych. Ocena tych przesłanek należy oczywiście do organu, który prowadzi w tym zakresie postępowanie dowodowe. Postępowanie to winno czynić zadość standardom wyznaczonym w przepisach k.p.a</w:t>
      </w:r>
      <w:r w:rsidRPr="001B4DB0">
        <w:rPr>
          <w:rFonts w:ascii="Times New Roman" w:hAnsi="Times New Roman" w:cs="Times New Roman"/>
          <w:sz w:val="24"/>
          <w:szCs w:val="24"/>
          <w:lang w:eastAsia="pl-PL"/>
        </w:rPr>
        <w:t>.</w:t>
      </w:r>
    </w:p>
    <w:p w14:paraId="5B36D4AD" w14:textId="77777777" w:rsidR="00BF282F" w:rsidRPr="001B4DB0" w:rsidRDefault="00BF282F" w:rsidP="001B4DB0">
      <w:pPr>
        <w:pStyle w:val="Bezodstpw"/>
        <w:jc w:val="both"/>
        <w:rPr>
          <w:rFonts w:ascii="Times New Roman" w:hAnsi="Times New Roman" w:cs="Times New Roman"/>
          <w:sz w:val="24"/>
          <w:szCs w:val="24"/>
          <w:lang w:eastAsia="pl-PL"/>
        </w:rPr>
      </w:pPr>
    </w:p>
    <w:p w14:paraId="6189D121" w14:textId="77777777" w:rsidR="00061E12" w:rsidRPr="001B4DB0" w:rsidRDefault="00000000" w:rsidP="001B4DB0">
      <w:pPr>
        <w:pStyle w:val="Bezodstpw"/>
        <w:jc w:val="both"/>
        <w:rPr>
          <w:rFonts w:ascii="Times New Roman" w:hAnsi="Times New Roman" w:cs="Times New Roman"/>
          <w:b/>
          <w:sz w:val="24"/>
          <w:szCs w:val="24"/>
          <w:lang w:eastAsia="pl-PL"/>
        </w:rPr>
      </w:pPr>
      <w:hyperlink r:id="rId7" w:anchor="/jurisprudence/522192156/1/ii-sa-sz-194-16-przepis-art-54-ust-1-u-p-s-a-sytuacja-finansowa-rodziny-osoby-ktora-mialaby...?cm=URELATIONS" w:history="1">
        <w:r w:rsidR="00061E12" w:rsidRPr="001B4DB0">
          <w:rPr>
            <w:rFonts w:ascii="Times New Roman" w:hAnsi="Times New Roman" w:cs="Times New Roman"/>
            <w:b/>
            <w:bCs/>
            <w:sz w:val="24"/>
            <w:szCs w:val="24"/>
            <w:lang w:eastAsia="pl-PL"/>
          </w:rPr>
          <w:t>II SA/</w:t>
        </w:r>
        <w:proofErr w:type="spellStart"/>
        <w:r w:rsidR="00061E12" w:rsidRPr="001B4DB0">
          <w:rPr>
            <w:rFonts w:ascii="Times New Roman" w:hAnsi="Times New Roman" w:cs="Times New Roman"/>
            <w:b/>
            <w:bCs/>
            <w:sz w:val="24"/>
            <w:szCs w:val="24"/>
            <w:lang w:eastAsia="pl-PL"/>
          </w:rPr>
          <w:t>Sz</w:t>
        </w:r>
        <w:proofErr w:type="spellEnd"/>
        <w:r w:rsidR="00061E12" w:rsidRPr="001B4DB0">
          <w:rPr>
            <w:rFonts w:ascii="Times New Roman" w:hAnsi="Times New Roman" w:cs="Times New Roman"/>
            <w:b/>
            <w:bCs/>
            <w:sz w:val="24"/>
            <w:szCs w:val="24"/>
            <w:lang w:eastAsia="pl-PL"/>
          </w:rPr>
          <w:t xml:space="preserve"> 194/16</w:t>
        </w:r>
        <w:r w:rsidR="00BF282F" w:rsidRPr="001B4DB0">
          <w:rPr>
            <w:rFonts w:ascii="Times New Roman" w:hAnsi="Times New Roman" w:cs="Times New Roman"/>
            <w:b/>
            <w:bCs/>
            <w:sz w:val="24"/>
            <w:szCs w:val="24"/>
            <w:lang w:eastAsia="pl-PL"/>
          </w:rPr>
          <w:t xml:space="preserve"> </w:t>
        </w:r>
        <w:r w:rsidR="00061E12" w:rsidRPr="001B4DB0">
          <w:rPr>
            <w:rFonts w:ascii="Times New Roman" w:hAnsi="Times New Roman" w:cs="Times New Roman"/>
            <w:b/>
            <w:bCs/>
            <w:sz w:val="24"/>
            <w:szCs w:val="24"/>
            <w:lang w:eastAsia="pl-PL"/>
          </w:rPr>
          <w:t>- Wyrok Wojewódzkiego Sądu Administracyjnego w Szczecinie</w:t>
        </w:r>
      </w:hyperlink>
      <w:r w:rsidR="00BF282F" w:rsidRPr="001B4DB0">
        <w:rPr>
          <w:rFonts w:ascii="Times New Roman" w:hAnsi="Times New Roman" w:cs="Times New Roman"/>
          <w:b/>
          <w:sz w:val="24"/>
          <w:szCs w:val="24"/>
          <w:lang w:eastAsia="pl-PL"/>
        </w:rPr>
        <w:t xml:space="preserve"> </w:t>
      </w:r>
      <w:r w:rsidR="00061E12" w:rsidRPr="001B4DB0">
        <w:rPr>
          <w:rFonts w:ascii="Times New Roman" w:hAnsi="Times New Roman" w:cs="Times New Roman"/>
          <w:b/>
          <w:sz w:val="24"/>
          <w:szCs w:val="24"/>
          <w:lang w:eastAsia="pl-PL"/>
        </w:rPr>
        <w:t>z dnia 2 czerwca 2016 r.</w:t>
      </w:r>
    </w:p>
    <w:p w14:paraId="7F28C87C" w14:textId="77777777" w:rsidR="00061E12" w:rsidRPr="001B4DB0" w:rsidRDefault="00BF282F" w:rsidP="001B4DB0">
      <w:pPr>
        <w:pStyle w:val="Bezodstpw"/>
        <w:jc w:val="both"/>
        <w:rPr>
          <w:rFonts w:ascii="Times New Roman" w:hAnsi="Times New Roman" w:cs="Times New Roman"/>
          <w:sz w:val="24"/>
          <w:szCs w:val="24"/>
          <w:lang w:eastAsia="pl-PL"/>
        </w:rPr>
      </w:pPr>
      <w:r w:rsidRPr="001B4DB0">
        <w:rPr>
          <w:rFonts w:ascii="Times New Roman" w:hAnsi="Times New Roman" w:cs="Times New Roman"/>
          <w:b/>
          <w:sz w:val="24"/>
          <w:szCs w:val="24"/>
          <w:lang w:eastAsia="pl-PL"/>
        </w:rPr>
        <w:t xml:space="preserve">Teza: </w:t>
      </w:r>
      <w:r w:rsidR="00061E12" w:rsidRPr="001B4DB0">
        <w:rPr>
          <w:rFonts w:ascii="Times New Roman" w:hAnsi="Times New Roman" w:cs="Times New Roman"/>
          <w:sz w:val="24"/>
          <w:szCs w:val="24"/>
          <w:lang w:eastAsia="pl-PL"/>
        </w:rPr>
        <w:t xml:space="preserve">Przepis art. 54 ust. 1 </w:t>
      </w:r>
      <w:proofErr w:type="spellStart"/>
      <w:r w:rsidR="00061E12" w:rsidRPr="001B4DB0">
        <w:rPr>
          <w:rFonts w:ascii="Times New Roman" w:hAnsi="Times New Roman" w:cs="Times New Roman"/>
          <w:sz w:val="24"/>
          <w:szCs w:val="24"/>
          <w:lang w:eastAsia="pl-PL"/>
        </w:rPr>
        <w:t>u.p.s</w:t>
      </w:r>
      <w:proofErr w:type="spellEnd"/>
      <w:r w:rsidR="00061E12" w:rsidRPr="001B4DB0">
        <w:rPr>
          <w:rFonts w:ascii="Times New Roman" w:hAnsi="Times New Roman" w:cs="Times New Roman"/>
          <w:sz w:val="24"/>
          <w:szCs w:val="24"/>
          <w:lang w:eastAsia="pl-PL"/>
        </w:rPr>
        <w:t>. nie uzależnia prawa do umieszczenia w domu pomocy społecznej od posiadania rodziny i sytuacji finansowej tej rodziny, lecz od faktu, czy można osobie wymagającej całodobowej opieki zapewnić niezbędną pomoc w codziennej egzystencji w inny sposób niż poprzez pobyt w domu pomocy społecznej. Jest zatem oczywiste, iż nie można odmówić tej formy wsparcia osobie spełniającej opisane w art. 54 ust. 1 ustawy warunki, mimo iż nie jest ona całkowicie samotna. Zbadanie sytuacji rodzinnej osoby, która miałaby skorzystać z prawa skierowania i umieszczenia jej w domu pomocy społecznej, powinno zatem polegać na ustaleniu obiektywnych możliwości osób jej bliskich, co do ich dyspozycyjności w zakresie świadczenia niezbędnej opieki.</w:t>
      </w:r>
    </w:p>
    <w:p w14:paraId="5AA033A8" w14:textId="77777777" w:rsidR="00061E12" w:rsidRPr="001B4DB0" w:rsidRDefault="00061E12" w:rsidP="001B4DB0">
      <w:pPr>
        <w:pStyle w:val="Bezodstpw"/>
        <w:jc w:val="both"/>
        <w:rPr>
          <w:rFonts w:ascii="Times New Roman" w:hAnsi="Times New Roman" w:cs="Times New Roman"/>
          <w:bCs/>
          <w:sz w:val="24"/>
          <w:szCs w:val="24"/>
          <w:lang w:eastAsia="pl-PL"/>
        </w:rPr>
      </w:pPr>
    </w:p>
    <w:p w14:paraId="60B6683D" w14:textId="7060D40E" w:rsidR="008C0B5E" w:rsidRPr="001B4DB0" w:rsidRDefault="008C0B5E" w:rsidP="004C28C1">
      <w:pPr>
        <w:pStyle w:val="Akapitzlist"/>
        <w:spacing w:before="100" w:beforeAutospacing="1" w:after="100" w:afterAutospacing="1" w:line="240" w:lineRule="auto"/>
        <w:ind w:left="1560"/>
        <w:jc w:val="both"/>
        <w:rPr>
          <w:rFonts w:ascii="Times New Roman" w:hAnsi="Times New Roman" w:cs="Times New Roman"/>
          <w:b/>
          <w:sz w:val="24"/>
          <w:szCs w:val="24"/>
        </w:rPr>
      </w:pPr>
    </w:p>
    <w:sectPr w:rsidR="008C0B5E" w:rsidRPr="001B4DB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5007A"/>
    <w:multiLevelType w:val="hybridMultilevel"/>
    <w:tmpl w:val="B51A1ACC"/>
    <w:lvl w:ilvl="0" w:tplc="0415000B">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 w15:restartNumberingAfterBreak="0">
    <w:nsid w:val="6D134DE2"/>
    <w:multiLevelType w:val="hybridMultilevel"/>
    <w:tmpl w:val="1A7C523C"/>
    <w:lvl w:ilvl="0" w:tplc="04150015">
      <w:start w:val="1"/>
      <w:numFmt w:val="upp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802045716">
    <w:abstractNumId w:val="1"/>
  </w:num>
  <w:num w:numId="2" w16cid:durableId="2622253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C0B5E"/>
    <w:rsid w:val="00061E12"/>
    <w:rsid w:val="001B4DB0"/>
    <w:rsid w:val="003036AD"/>
    <w:rsid w:val="00462335"/>
    <w:rsid w:val="004C28C1"/>
    <w:rsid w:val="008C0B5E"/>
    <w:rsid w:val="00BF282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41098"/>
  <w15:docId w15:val="{86F52DE6-07E2-4DC9-9351-A28C88E80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C0B5E"/>
    <w:pPr>
      <w:spacing w:after="160" w:line="259"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8C0B5E"/>
    <w:pPr>
      <w:ind w:left="720"/>
      <w:contextualSpacing/>
    </w:pPr>
  </w:style>
  <w:style w:type="paragraph" w:styleId="Bezodstpw">
    <w:name w:val="No Spacing"/>
    <w:uiPriority w:val="1"/>
    <w:qFormat/>
    <w:rsid w:val="008C0B5E"/>
    <w:pPr>
      <w:spacing w:after="0" w:line="240" w:lineRule="auto"/>
    </w:pPr>
  </w:style>
  <w:style w:type="paragraph" w:customStyle="1" w:styleId="text-justify">
    <w:name w:val="text-justify"/>
    <w:basedOn w:val="Normalny"/>
    <w:uiPriority w:val="99"/>
    <w:rsid w:val="008C0B5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semiHidden/>
    <w:unhideWhenUsed/>
    <w:rsid w:val="008C0B5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ip.lex.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ip.lex.pl/" TargetMode="External"/><Relationship Id="rId5" Type="http://schemas.openxmlformats.org/officeDocument/2006/relationships/hyperlink" Target="https://sip.lex.p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508</Words>
  <Characters>3050</Characters>
  <Application>Microsoft Office Word</Application>
  <DocSecurity>0</DocSecurity>
  <Lines>25</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Użytkownik systemu Windows</dc:creator>
  <cp:lastModifiedBy>Dorota Frańczak</cp:lastModifiedBy>
  <cp:revision>3</cp:revision>
  <dcterms:created xsi:type="dcterms:W3CDTF">2023-01-30T21:10:00Z</dcterms:created>
  <dcterms:modified xsi:type="dcterms:W3CDTF">2023-01-31T11:19:00Z</dcterms:modified>
</cp:coreProperties>
</file>